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r w:rsidDel="00000000" w:rsidR="00000000" w:rsidRPr="00000000">
        <w:rPr>
          <w:rtl w:val="0"/>
        </w:rPr>
        <w:t xml:space="preserve">NON-VIOLENT MOVEMENTS OF THE WORLD</w:t>
      </w:r>
    </w:p>
    <w:p w:rsidR="00000000" w:rsidDel="00000000" w:rsidP="00000000" w:rsidRDefault="00000000" w:rsidRPr="00000000" w14:paraId="00000002">
      <w:pPr>
        <w:spacing w:after="120" w:before="120" w:lineRule="auto"/>
        <w:jc w:val="both"/>
        <w:rPr>
          <w:b w:val="1"/>
        </w:rPr>
      </w:pPr>
      <w:r w:rsidDel="00000000" w:rsidR="00000000" w:rsidRPr="00000000">
        <w:rPr>
          <w:rtl w:val="0"/>
        </w:rPr>
      </w:r>
    </w:p>
    <w:p w:rsidR="00000000" w:rsidDel="00000000" w:rsidP="00000000" w:rsidRDefault="00000000" w:rsidRPr="00000000" w14:paraId="00000003">
      <w:pPr>
        <w:spacing w:after="120" w:before="120" w:lineRule="auto"/>
        <w:jc w:val="both"/>
        <w:rPr>
          <w:b w:val="1"/>
          <w:color w:val="000000"/>
          <w:sz w:val="24"/>
          <w:szCs w:val="24"/>
        </w:rPr>
      </w:pPr>
      <w:r w:rsidDel="00000000" w:rsidR="00000000" w:rsidRPr="00000000">
        <w:rPr>
          <w:b w:val="1"/>
          <w:color w:val="000000"/>
          <w:sz w:val="24"/>
          <w:szCs w:val="24"/>
          <w:rtl w:val="0"/>
        </w:rPr>
        <w:t xml:space="preserve">Course Description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This course explores the history and role of nonviolent movements in the context of Peace Studies. It introduces students to the basic concepts surrounding the historical onset of nonviolent movements and the impact these have had on non-violent and peaceful transitions</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120" w:before="120" w:lineRule="auto"/>
        <w:jc w:val="both"/>
        <w:rPr>
          <w:b w:val="1"/>
          <w:color w:val="000000"/>
          <w:sz w:val="24"/>
          <w:szCs w:val="24"/>
        </w:rPr>
      </w:pPr>
      <w:r w:rsidDel="00000000" w:rsidR="00000000" w:rsidRPr="00000000">
        <w:rPr>
          <w:b w:val="1"/>
          <w:color w:val="000000"/>
          <w:sz w:val="24"/>
          <w:szCs w:val="24"/>
          <w:rtl w:val="0"/>
        </w:rPr>
        <w:t xml:space="preserve">Learning Objectives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Comparative Peace Processes will enable learners to attain: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1. The Students acquire basic knowledge of and understanding to nonviolent movements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 The causes behind various world nonviolent movements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3. They can critically analyze the dynamics and impacts of peace movements.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4. By taking this course, students will develop a sound understanding of nonviolent movements, their historical evolution, and their impacts in conflict-affected or contested contexts.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5. The participants of the course will develop a particular focus on examples of historical nonviolent movements, depending on the course advisor/teacher.</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26190.0" w:type="dxa"/>
        <w:jc w:val="left"/>
        <w:tblInd w:w="-5.0" w:type="dxa"/>
        <w:tblBorders>
          <w:top w:color="c4bcc6" w:space="0" w:sz="4" w:val="single"/>
          <w:left w:color="c4bcc6" w:space="0" w:sz="4" w:val="single"/>
          <w:bottom w:color="c4bcc6" w:space="0" w:sz="4" w:val="single"/>
          <w:right w:color="c4bcc6" w:space="0" w:sz="4" w:val="single"/>
          <w:insideH w:color="c4bcc6" w:space="0" w:sz="4" w:val="single"/>
          <w:insideV w:color="c4bcc6" w:space="0" w:sz="4" w:val="single"/>
        </w:tblBorders>
        <w:tblLayout w:type="fixed"/>
        <w:tblLook w:val="01A0"/>
      </w:tblPr>
      <w:tblGrid>
        <w:gridCol w:w="1620"/>
        <w:gridCol w:w="8190"/>
        <w:gridCol w:w="8190"/>
        <w:gridCol w:w="8190"/>
        <w:tblGridChange w:id="0">
          <w:tblGrid>
            <w:gridCol w:w="1620"/>
            <w:gridCol w:w="8190"/>
            <w:gridCol w:w="8190"/>
            <w:gridCol w:w="8190"/>
          </w:tblGrid>
        </w:tblGridChange>
      </w:tblGrid>
      <w:tr>
        <w:trPr>
          <w:cantSplit w:val="0"/>
          <w:trHeight w:val="1070" w:hRule="atLeast"/>
          <w:tblHeader w:val="0"/>
        </w:trPr>
        <w:tc>
          <w:tcPr>
            <w:gridSpan w:val="2"/>
            <w:shd w:fill="94a1e4"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b w:val="0"/>
                <w:i w:val="0"/>
                <w:smallCaps w:val="0"/>
                <w:strike w:val="0"/>
                <w:color w:val="000000"/>
                <w:sz w:val="28"/>
                <w:szCs w:val="28"/>
                <w:u w:val="none"/>
                <w:shd w:fill="auto" w:val="clear"/>
                <w:vertAlign w:val="baseline"/>
                <w:rtl w:val="0"/>
              </w:rPr>
              <w:t xml:space="preserve">Course Calendar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6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Nonviolent movements: an introduction.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Nonviolent movement/forceful. Why do we need it?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Definition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Contemporary non-violent methods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Inspirations of Nonviolence: Pragmatic, Ethical ,and Religious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Methods of Nonviolent Action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Acts of Protest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Persuasion,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Noncooperation,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rPr>
            </w:pPr>
            <w:r w:rsidDel="00000000" w:rsidR="00000000" w:rsidRPr="00000000">
              <w:rPr>
                <w:b w:val="1"/>
                <w:rtl w:val="0"/>
              </w:rPr>
              <w:t xml:space="preserve">Nonviolent Intervention.</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57"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Week-2</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Types of Generic Nonviolence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Non Violence Resistance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 Direct Action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Moral Resistance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Active Reconciliation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Passive Resistance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Peaceful resistance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Satyagraha </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3"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Week-3</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Six Principles of Non-Violent Movements.</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4"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0"/>
                <w:szCs w:val="20"/>
                <w:u w:val="none"/>
                <w:shd w:fill="auto" w:val="clear"/>
                <w:vertAlign w:val="baseline"/>
                <w:rtl w:val="0"/>
              </w:rPr>
              <w:t xml:space="preserve">Week-4</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Theoretical understanding. Nonviolent movements in the Subcontinent</w:t>
            </w:r>
            <w:r w:rsidDel="00000000" w:rsidR="00000000" w:rsidRPr="00000000">
              <w:rPr>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6"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Week-5</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1"/>
              </w:rPr>
            </w:pPr>
            <w:r w:rsidDel="00000000" w:rsidR="00000000" w:rsidRPr="00000000">
              <w:rPr>
                <w:b w:val="1"/>
                <w:rtl w:val="0"/>
              </w:rPr>
              <w:t xml:space="preserve">Mahatma Gandhi and Character Education in</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 Non-Violence</w:t>
            </w:r>
            <w:r w:rsidDel="00000000" w:rsidR="00000000" w:rsidRPr="00000000">
              <w:rPr>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1"/>
              </w:rPr>
            </w:pPr>
            <w:r w:rsidDel="00000000" w:rsidR="00000000" w:rsidRPr="00000000">
              <w:rPr>
                <w:b w:val="1"/>
                <w:rtl w:val="0"/>
              </w:rPr>
              <w:t xml:space="preserve">The Khudai Khidmatgar Movement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(1933-1937)</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Week-6and 7</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Farmers’ Movement 2021:</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 Analyzing the Issues that Ignited Farmers’ protest in India.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 The background of Farmers’ movements.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The emergence of Rakesh Tikiat as a leader.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Why the movement started through Third Degree Nonviolence.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w:t>
            </w:r>
          </w:p>
        </w:tc>
        <w:tc>
          <w:tcPr>
            <w:tcBorders>
              <w:left w:color="c4bcc6" w:space="0" w:sz="18" w:val="single"/>
              <w:right w:color="c4bcc6" w:space="0" w:sz="18" w:val="single"/>
            </w:tcBorders>
            <w:shd w:fill="c8cae7"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8"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Week-8</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b w:val="1"/>
                <w:rtl w:val="0"/>
              </w:rPr>
              <w:t xml:space="preserve">Class-based</w:t>
            </w:r>
            <w:r w:rsidDel="00000000" w:rsidR="00000000" w:rsidRPr="00000000">
              <w:rPr>
                <w:b w:val="1"/>
                <w:i w:val="0"/>
                <w:smallCaps w:val="0"/>
                <w:strike w:val="0"/>
                <w:color w:val="000000"/>
                <w:sz w:val="22"/>
                <w:szCs w:val="22"/>
                <w:u w:val="none"/>
                <w:shd w:fill="auto" w:val="clear"/>
                <w:vertAlign w:val="baseline"/>
                <w:rtl w:val="0"/>
              </w:rPr>
              <w:t xml:space="preserve"> debates</w:t>
            </w:r>
            <w:r w:rsidDel="00000000" w:rsidR="00000000" w:rsidRPr="00000000">
              <w:rPr>
                <w:b w:val="1"/>
                <w:rtl w:val="0"/>
              </w:rPr>
              <w:t xml:space="preserve"> and symbolization exercise</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6"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Week-9</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Mid-term</w:t>
            </w:r>
          </w:p>
        </w:tc>
        <w:tc>
          <w:tcPr>
            <w:tcBorders>
              <w:left w:color="c4bcc6" w:space="0" w:sz="18" w:val="single"/>
              <w:right w:color="c4bcc6" w:space="0" w:sz="18"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center"/>
              <w:rPr>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center"/>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2"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Week-10</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i w:val="0"/>
                <w:smallCaps w:val="0"/>
                <w:strike w:val="0"/>
                <w:color w:val="000000"/>
                <w:sz w:val="22"/>
                <w:szCs w:val="22"/>
                <w:u w:val="none"/>
                <w:shd w:fill="auto" w:val="clear"/>
                <w:vertAlign w:val="baseline"/>
              </w:rPr>
            </w:pPr>
            <w:r w:rsidDel="00000000" w:rsidR="00000000" w:rsidRPr="00000000">
              <w:rPr>
                <w:b w:val="1"/>
                <w:rtl w:val="0"/>
              </w:rPr>
              <w:t xml:space="preserve">Inequality and nonviolent movements</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12"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Week-11</w:t>
            </w:r>
            <w:r w:rsidDel="00000000" w:rsidR="00000000" w:rsidRPr="00000000">
              <w:rPr>
                <w:rtl w:val="0"/>
              </w:rPr>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Nonviolent movements in Africa (documentary)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rPr>
            </w:pPr>
            <w:r w:rsidDel="00000000" w:rsidR="00000000" w:rsidRPr="00000000">
              <w:rPr>
                <w:b w:val="1"/>
                <w:rtl w:val="0"/>
              </w:rPr>
              <w:t xml:space="preserve">A Case Study of Nelson Mandela</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4"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0"/>
                <w:szCs w:val="20"/>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Week-12 and 13</w:t>
            </w:r>
            <w:r w:rsidDel="00000000" w:rsidR="00000000" w:rsidRPr="00000000">
              <w:rPr>
                <w:rtl w:val="0"/>
              </w:rPr>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Caste and class.Nonviolent movement in America (documentary)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pPr>
            <w:r w:rsidDel="00000000" w:rsidR="00000000" w:rsidRPr="00000000">
              <w:rPr>
                <w:i w:val="0"/>
                <w:smallCaps w:val="0"/>
                <w:strike w:val="0"/>
                <w:color w:val="000000"/>
                <w:sz w:val="22"/>
                <w:szCs w:val="22"/>
                <w:u w:val="none"/>
                <w:shd w:fill="auto" w:val="clear"/>
                <w:vertAlign w:val="baseline"/>
                <w:rtl w:val="0"/>
              </w:rPr>
              <w:t xml:space="preserve">A Case Study of M. L. King (J).</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Week-14</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pPr>
            <w:r w:rsidDel="00000000" w:rsidR="00000000" w:rsidRPr="00000000">
              <w:rPr>
                <w:rtl w:val="0"/>
              </w:rPr>
              <w:t xml:space="preserve">Three evils mentioned by M. L. King (J). </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Week-15</w:t>
            </w:r>
          </w:p>
        </w:tc>
        <w:tc>
          <w:tcPr>
            <w:tcBorders>
              <w:left w:color="c4bcc6" w:space="0" w:sz="18" w:val="single"/>
            </w:tcBorders>
            <w:shd w:fill="c8cae7" w:val="clear"/>
            <w:tcMar>
              <w:top w:w="14.0" w:type="dxa"/>
              <w:left w:w="29.0" w:type="dxa"/>
              <w:bottom w:w="14.0" w:type="dxa"/>
              <w:right w:w="101.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t xml:space="preserve">Comparative analyses between the nonviolent movements of M. L. King (J) and</w:t>
              <w:tab/>
              <w:tab/>
              <w:t xml:space="preserve"> Nelson Mandela.</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left w:color="c4bcc6" w:space="0" w:sz="18" w:val="single"/>
              <w:right w:color="c4bcc6" w:space="0" w:sz="18" w:val="single"/>
            </w:tcBorders>
            <w:shd w:fill="c8cae7"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shd w:fill="c8cae7"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5" w:hRule="atLeast"/>
          <w:tblHeader w:val="0"/>
        </w:trPr>
        <w:tc>
          <w:tcPr>
            <w:tcBorders>
              <w:top w:color="c4bcc6" w:space="0" w:sz="18" w:val="single"/>
              <w:left w:color="c4bcc6" w:space="0" w:sz="18" w:val="single"/>
              <w:bottom w:color="c4bcc6" w:space="0" w:sz="18" w:val="single"/>
              <w:right w:color="c4bcc6" w:space="0" w:sz="18" w:val="single"/>
            </w:tcBorders>
            <w:shd w:fill="94a1e4"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Week-16</w:t>
            </w:r>
          </w:p>
        </w:tc>
        <w:tc>
          <w:tcPr>
            <w:tcBorders>
              <w:left w:color="c4bcc6" w:space="0" w:sz="18" w:val="single"/>
            </w:tcBorders>
            <w:tcMar>
              <w:top w:w="14.0" w:type="dxa"/>
              <w:left w:w="29.0" w:type="dxa"/>
              <w:bottom w:w="14.0" w:type="dxa"/>
              <w:right w:w="101.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b w:val="1"/>
                <w:i w:val="0"/>
                <w:smallCaps w:val="0"/>
                <w:strike w:val="0"/>
                <w:color w:val="000000"/>
                <w:sz w:val="22"/>
                <w:szCs w:val="22"/>
                <w:u w:val="none"/>
                <w:shd w:fill="auto" w:val="clear"/>
                <w:vertAlign w:val="baseline"/>
              </w:rPr>
            </w:pPr>
            <w:r w:rsidDel="00000000" w:rsidR="00000000" w:rsidRPr="00000000">
              <w:rPr>
                <w:rtl w:val="0"/>
              </w:rPr>
              <w:t xml:space="preserve">Contemporary world, nonviolent movements and women in peace campaigns, (class activity) presentations, submission of term paper and Course Revision</w:t>
            </w:r>
            <w:r w:rsidDel="00000000" w:rsidR="00000000" w:rsidRPr="00000000">
              <w:rPr>
                <w:rtl w:val="0"/>
              </w:rPr>
            </w:r>
          </w:p>
        </w:tc>
        <w:tc>
          <w:tcPr>
            <w:tcBorders>
              <w:left w:color="c4bcc6" w:space="0" w:sz="18" w:val="single"/>
              <w:right w:color="c4bcc6" w:space="0" w:sz="18"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i w:val="0"/>
                <w:smallCaps w:val="0"/>
                <w:strike w:val="0"/>
                <w:color w:val="000000"/>
                <w:sz w:val="22"/>
                <w:szCs w:val="22"/>
                <w:u w:val="none"/>
                <w:shd w:fill="auto" w:val="clear"/>
                <w:vertAlign w:val="baseline"/>
              </w:rPr>
            </w:pPr>
            <w:r w:rsidDel="00000000" w:rsidR="00000000" w:rsidRPr="00000000">
              <w:rPr>
                <w:rtl w:val="0"/>
              </w:rPr>
            </w:r>
          </w:p>
        </w:tc>
        <w:tc>
          <w:tcPr>
            <w:tcBorders>
              <w:left w:color="c4bcc6" w:space="0" w:sz="18"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7" w:right="0" w:firstLine="0"/>
              <w:jc w:val="both"/>
              <w:rPr>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 w:hRule="atLeast"/>
          <w:tblHeader w:val="0"/>
        </w:trPr>
        <w:tc>
          <w:tcPr>
            <w:gridSpan w:val="2"/>
            <w:shd w:fill="94a1e4"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b w:val="0"/>
                <w:i w:val="0"/>
                <w:smallCaps w:val="0"/>
                <w:strike w:val="0"/>
                <w:color w:val="000000"/>
                <w:sz w:val="22"/>
                <w:szCs w:val="22"/>
                <w:u w:val="none"/>
                <w:shd w:fill="auto" w:val="clear"/>
                <w:vertAlign w:val="baseline"/>
              </w:rPr>
            </w:pPr>
            <w:r w:rsidDel="00000000" w:rsidR="00000000" w:rsidRPr="00000000">
              <w:rPr>
                <w:b w:val="0"/>
                <w:i w:val="0"/>
                <w:smallCaps w:val="0"/>
                <w:strike w:val="0"/>
                <w:color w:val="000000"/>
                <w:sz w:val="22"/>
                <w:szCs w:val="22"/>
                <w:u w:val="none"/>
                <w:shd w:fill="auto" w:val="clear"/>
                <w:vertAlign w:val="baseline"/>
                <w:rtl w:val="0"/>
              </w:rPr>
              <w:t xml:space="preserve">Final-term</w:t>
            </w:r>
          </w:p>
        </w:tc>
        <w:tc>
          <w:tcPr>
            <w:shd w:fill="94a1e4"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i w:val="0"/>
                <w:smallCaps w:val="0"/>
                <w:strike w:val="0"/>
                <w:color w:val="000000"/>
                <w:sz w:val="22"/>
                <w:szCs w:val="22"/>
                <w:u w:val="none"/>
                <w:shd w:fill="auto" w:val="clear"/>
                <w:vertAlign w:val="baseline"/>
              </w:rPr>
            </w:pPr>
            <w:r w:rsidDel="00000000" w:rsidR="00000000" w:rsidRPr="00000000">
              <w:rPr>
                <w:rtl w:val="0"/>
              </w:rPr>
            </w:r>
          </w:p>
        </w:tc>
        <w:tc>
          <w:tcPr>
            <w:shd w:fill="94a1e4"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3" w:firstLine="0"/>
              <w:jc w:val="center"/>
              <w:rP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D">
      <w:pPr>
        <w:spacing w:line="251" w:lineRule="auto"/>
        <w:rPr/>
      </w:pPr>
      <w:r w:rsidDel="00000000" w:rsidR="00000000" w:rsidRPr="00000000">
        <w:rPr>
          <w:rtl w:val="0"/>
        </w:rPr>
      </w:r>
    </w:p>
    <w:p w:rsidR="00000000" w:rsidDel="00000000" w:rsidP="00000000" w:rsidRDefault="00000000" w:rsidRPr="00000000" w14:paraId="0000006E">
      <w:pPr>
        <w:spacing w:line="251" w:lineRule="auto"/>
        <w:rPr/>
      </w:pPr>
      <w:r w:rsidDel="00000000" w:rsidR="00000000" w:rsidRPr="00000000">
        <w:rPr>
          <w:rtl w:val="0"/>
        </w:rPr>
      </w:r>
    </w:p>
    <w:p w:rsidR="00000000" w:rsidDel="00000000" w:rsidP="00000000" w:rsidRDefault="00000000" w:rsidRPr="00000000" w14:paraId="0000006F">
      <w:pPr>
        <w:spacing w:line="251" w:lineRule="auto"/>
        <w:rPr>
          <w:b w:val="1"/>
          <w:sz w:val="28"/>
          <w:szCs w:val="28"/>
        </w:rPr>
      </w:pPr>
      <w:r w:rsidDel="00000000" w:rsidR="00000000" w:rsidRPr="00000000">
        <w:rPr>
          <w:rtl w:val="0"/>
        </w:rPr>
      </w:r>
    </w:p>
    <w:p w:rsidR="00000000" w:rsidDel="00000000" w:rsidP="00000000" w:rsidRDefault="00000000" w:rsidRPr="00000000" w14:paraId="00000070">
      <w:pPr>
        <w:spacing w:line="251" w:lineRule="auto"/>
        <w:rPr>
          <w:b w:val="1"/>
          <w:sz w:val="28"/>
          <w:szCs w:val="28"/>
        </w:rPr>
      </w:pPr>
      <w:r w:rsidDel="00000000" w:rsidR="00000000" w:rsidRPr="00000000">
        <w:rPr>
          <w:rtl w:val="0"/>
        </w:rPr>
      </w:r>
    </w:p>
    <w:p w:rsidR="00000000" w:rsidDel="00000000" w:rsidP="00000000" w:rsidRDefault="00000000" w:rsidRPr="00000000" w14:paraId="00000071">
      <w:pPr>
        <w:spacing w:line="251" w:lineRule="auto"/>
        <w:rPr>
          <w:b w:val="1"/>
          <w:sz w:val="28"/>
          <w:szCs w:val="28"/>
        </w:rPr>
      </w:pPr>
      <w:r w:rsidDel="00000000" w:rsidR="00000000" w:rsidRPr="00000000">
        <w:rPr>
          <w:rtl w:val="0"/>
        </w:rPr>
      </w:r>
    </w:p>
    <w:p w:rsidR="00000000" w:rsidDel="00000000" w:rsidP="00000000" w:rsidRDefault="00000000" w:rsidRPr="00000000" w14:paraId="00000072">
      <w:pPr>
        <w:spacing w:line="251" w:lineRule="auto"/>
        <w:rPr>
          <w:b w:val="1"/>
          <w:sz w:val="28"/>
          <w:szCs w:val="28"/>
        </w:rPr>
      </w:pPr>
      <w:r w:rsidDel="00000000" w:rsidR="00000000" w:rsidRPr="00000000">
        <w:rPr>
          <w:rtl w:val="0"/>
        </w:rPr>
      </w:r>
    </w:p>
    <w:p w:rsidR="00000000" w:rsidDel="00000000" w:rsidP="00000000" w:rsidRDefault="00000000" w:rsidRPr="00000000" w14:paraId="00000073">
      <w:pPr>
        <w:spacing w:line="251" w:lineRule="auto"/>
        <w:rPr>
          <w:b w:val="1"/>
          <w:sz w:val="28"/>
          <w:szCs w:val="28"/>
        </w:rPr>
      </w:pPr>
      <w:r w:rsidDel="00000000" w:rsidR="00000000" w:rsidRPr="00000000">
        <w:rPr>
          <w:rtl w:val="0"/>
        </w:rPr>
      </w:r>
    </w:p>
    <w:p w:rsidR="00000000" w:rsidDel="00000000" w:rsidP="00000000" w:rsidRDefault="00000000" w:rsidRPr="00000000" w14:paraId="00000074">
      <w:pPr>
        <w:spacing w:line="251" w:lineRule="auto"/>
        <w:rPr>
          <w:b w:val="1"/>
          <w:sz w:val="28"/>
          <w:szCs w:val="28"/>
        </w:rPr>
      </w:pPr>
      <w:r w:rsidDel="00000000" w:rsidR="00000000" w:rsidRPr="00000000">
        <w:rPr>
          <w:b w:val="1"/>
          <w:sz w:val="28"/>
          <w:szCs w:val="28"/>
          <w:rtl w:val="0"/>
        </w:rPr>
        <w:t xml:space="preserve">Readings/ References</w:t>
      </w:r>
    </w:p>
    <w:p w:rsidR="00000000" w:rsidDel="00000000" w:rsidP="00000000" w:rsidRDefault="00000000" w:rsidRPr="00000000" w14:paraId="00000075">
      <w:pPr>
        <w:numPr>
          <w:ilvl w:val="0"/>
          <w:numId w:val="1"/>
        </w:numPr>
        <w:spacing w:line="251" w:lineRule="auto"/>
        <w:ind w:left="720" w:hanging="360"/>
        <w:rPr>
          <w:sz w:val="24"/>
          <w:szCs w:val="24"/>
        </w:rPr>
      </w:pPr>
      <w:r w:rsidDel="00000000" w:rsidR="00000000" w:rsidRPr="00000000">
        <w:rPr>
          <w:sz w:val="24"/>
          <w:szCs w:val="24"/>
          <w:rtl w:val="0"/>
        </w:rPr>
        <w:t xml:space="preserve">Mukulika Banerjee, The Pathan Unarmed: Opposition &amp; Memory in the North West Frontier. Oxford University Press, 2000.</w:t>
      </w:r>
    </w:p>
    <w:p w:rsidR="00000000" w:rsidDel="00000000" w:rsidP="00000000" w:rsidRDefault="00000000" w:rsidRPr="00000000" w14:paraId="00000076">
      <w:pPr>
        <w:numPr>
          <w:ilvl w:val="0"/>
          <w:numId w:val="1"/>
        </w:numPr>
        <w:spacing w:line="251" w:lineRule="auto"/>
        <w:ind w:left="720" w:hanging="360"/>
        <w:rPr>
          <w:sz w:val="24"/>
          <w:szCs w:val="24"/>
        </w:rPr>
      </w:pPr>
      <w:r w:rsidDel="00000000" w:rsidR="00000000" w:rsidRPr="00000000">
        <w:rPr>
          <w:sz w:val="24"/>
          <w:szCs w:val="24"/>
          <w:rtl w:val="0"/>
        </w:rPr>
        <w:t xml:space="preserve">David Cortright, Peace: A History of Movements and Ideas, Cambridge University Press, 2008.</w:t>
      </w:r>
    </w:p>
    <w:p w:rsidR="00000000" w:rsidDel="00000000" w:rsidP="00000000" w:rsidRDefault="00000000" w:rsidRPr="00000000" w14:paraId="00000077">
      <w:pPr>
        <w:numPr>
          <w:ilvl w:val="0"/>
          <w:numId w:val="1"/>
        </w:numPr>
        <w:spacing w:line="251" w:lineRule="auto"/>
        <w:ind w:left="720" w:hanging="360"/>
        <w:rPr>
          <w:sz w:val="24"/>
          <w:szCs w:val="24"/>
        </w:rPr>
      </w:pPr>
      <w:r w:rsidDel="00000000" w:rsidR="00000000" w:rsidRPr="00000000">
        <w:rPr>
          <w:sz w:val="24"/>
          <w:szCs w:val="24"/>
          <w:rtl w:val="0"/>
        </w:rPr>
        <w:t xml:space="preserve">Abdul Ghaffar Khan, My Life and Struggle, Delhi: Hind Pocket Books, 1969.</w:t>
      </w:r>
    </w:p>
    <w:p w:rsidR="00000000" w:rsidDel="00000000" w:rsidP="00000000" w:rsidRDefault="00000000" w:rsidRPr="00000000" w14:paraId="00000078">
      <w:pPr>
        <w:numPr>
          <w:ilvl w:val="0"/>
          <w:numId w:val="1"/>
        </w:numPr>
        <w:spacing w:line="251" w:lineRule="auto"/>
        <w:ind w:left="720" w:hanging="360"/>
        <w:rPr>
          <w:sz w:val="24"/>
          <w:szCs w:val="24"/>
        </w:rPr>
      </w:pPr>
      <w:r w:rsidDel="00000000" w:rsidR="00000000" w:rsidRPr="00000000">
        <w:rPr>
          <w:sz w:val="24"/>
          <w:szCs w:val="24"/>
          <w:rtl w:val="0"/>
        </w:rPr>
        <w:t xml:space="preserve">Nojeim, Michael J. Gandhi and King: The power of nonviolent resistance. Greenwood Publishing Group, 2004.</w:t>
      </w:r>
    </w:p>
    <w:p w:rsidR="00000000" w:rsidDel="00000000" w:rsidP="00000000" w:rsidRDefault="00000000" w:rsidRPr="00000000" w14:paraId="00000079">
      <w:pPr>
        <w:numPr>
          <w:ilvl w:val="0"/>
          <w:numId w:val="1"/>
        </w:numPr>
        <w:spacing w:line="251" w:lineRule="auto"/>
        <w:ind w:left="720" w:hanging="360"/>
        <w:rPr>
          <w:sz w:val="24"/>
          <w:szCs w:val="24"/>
        </w:rPr>
      </w:pPr>
      <w:r w:rsidDel="00000000" w:rsidR="00000000" w:rsidRPr="00000000">
        <w:rPr>
          <w:sz w:val="24"/>
          <w:szCs w:val="24"/>
          <w:rtl w:val="0"/>
        </w:rPr>
        <w:t xml:space="preserve">Mandela, Nelson. Long walk to freedom. Hachette UK, 2013.</w:t>
      </w:r>
    </w:p>
    <w:p w:rsidR="00000000" w:rsidDel="00000000" w:rsidP="00000000" w:rsidRDefault="00000000" w:rsidRPr="00000000" w14:paraId="0000007A">
      <w:pPr>
        <w:spacing w:line="251" w:lineRule="auto"/>
        <w:rPr>
          <w:b w:val="1"/>
          <w:sz w:val="28"/>
          <w:szCs w:val="28"/>
        </w:rPr>
      </w:pPr>
      <w:r w:rsidDel="00000000" w:rsidR="00000000" w:rsidRPr="00000000">
        <w:rPr>
          <w:rtl w:val="0"/>
        </w:rPr>
      </w:r>
    </w:p>
    <w:p w:rsidR="00000000" w:rsidDel="00000000" w:rsidP="00000000" w:rsidRDefault="00000000" w:rsidRPr="00000000" w14:paraId="0000007B">
      <w:pPr>
        <w:spacing w:line="25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Rule="auto"/>
      <w:ind w:left="3285"/>
    </w:pPr>
    <w:rPr>
      <w:rFonts w:ascii="Calibri" w:cs="Calibri" w:eastAsia="Calibri" w:hAnsi="Calibri"/>
      <w:b w:val="1"/>
      <w:sz w:val="36"/>
      <w:szCs w:val="36"/>
    </w:rPr>
  </w:style>
  <w:style w:type="paragraph" w:styleId="Heading2">
    <w:name w:val="heading 2"/>
    <w:basedOn w:val="Normal"/>
    <w:next w:val="Normal"/>
    <w:pPr>
      <w:spacing w:before="59" w:lineRule="auto"/>
    </w:pPr>
    <w:rPr>
      <w:b w:val="1"/>
      <w:sz w:val="32"/>
      <w:szCs w:val="32"/>
      <w:u w:val="single"/>
    </w:rPr>
  </w:style>
  <w:style w:type="paragraph" w:styleId="Heading3">
    <w:name w:val="heading 3"/>
    <w:basedOn w:val="Normal"/>
    <w:next w:val="Normal"/>
    <w:pPr>
      <w:spacing w:before="59" w:lineRule="auto"/>
      <w:jc w:val="center"/>
    </w:pPr>
    <w:rPr>
      <w:b w:val="1"/>
      <w:sz w:val="32"/>
      <w:szCs w:val="32"/>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03" w:lineRule="auto"/>
      <w:ind w:right="399"/>
      <w:jc w:val="center"/>
    </w:pPr>
    <w:rPr>
      <w:rFonts w:ascii="Calibri" w:cs="Calibri" w:eastAsia="Calibri" w:hAnsi="Calibri"/>
      <w:b w:val="1"/>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102D"/>
    <w:rPr>
      <w:rFonts w:ascii="Calibri" w:cs="Calibri" w:eastAsia="Calibri" w:hAnsi="Calibri"/>
      <w:b w:val="1"/>
      <w:bCs w:val="1"/>
      <w:sz w:val="36"/>
      <w:szCs w:val="36"/>
    </w:rPr>
  </w:style>
  <w:style w:type="character" w:styleId="Heading2Char" w:customStyle="1">
    <w:name w:val="Heading 2 Char"/>
    <w:basedOn w:val="DefaultParagraphFont"/>
    <w:link w:val="Heading2"/>
    <w:uiPriority w:val="9"/>
    <w:rsid w:val="00D5102D"/>
    <w:rPr>
      <w:rFonts w:ascii="Times New Roman" w:cs="Times New Roman" w:eastAsia="Times New Roman" w:hAnsi="Times New Roman"/>
      <w:b w:val="1"/>
      <w:bCs w:val="1"/>
      <w:sz w:val="32"/>
      <w:szCs w:val="32"/>
      <w:u w:color="000000" w:val="single"/>
    </w:rPr>
  </w:style>
  <w:style w:type="character" w:styleId="Heading3Char" w:customStyle="1">
    <w:name w:val="Heading 3 Char"/>
    <w:basedOn w:val="DefaultParagraphFont"/>
    <w:link w:val="Heading3"/>
    <w:uiPriority w:val="9"/>
    <w:rsid w:val="00D5102D"/>
    <w:rPr>
      <w:rFonts w:ascii="Times New Roman" w:cs="Times New Roman" w:eastAsia="Times New Roman" w:hAnsi="Times New Roman"/>
      <w:b w:val="1"/>
      <w:bCs w:val="1"/>
      <w:sz w:val="32"/>
      <w:szCs w:val="32"/>
      <w:u w:color="000000" w:val="single"/>
    </w:rPr>
  </w:style>
  <w:style w:type="paragraph" w:styleId="BodyText">
    <w:name w:val="Body Text"/>
    <w:basedOn w:val="Normal"/>
    <w:link w:val="BodyTextChar"/>
    <w:uiPriority w:val="1"/>
    <w:qFormat w:val="1"/>
    <w:rsid w:val="00D5102D"/>
    <w:rPr>
      <w:sz w:val="24"/>
      <w:szCs w:val="24"/>
    </w:rPr>
  </w:style>
  <w:style w:type="character" w:styleId="BodyTextChar" w:customStyle="1">
    <w:name w:val="Body Text Char"/>
    <w:basedOn w:val="DefaultParagraphFont"/>
    <w:link w:val="BodyText"/>
    <w:uiPriority w:val="1"/>
    <w:rsid w:val="00D5102D"/>
    <w:rPr>
      <w:rFonts w:ascii="Times New Roman" w:cs="Times New Roman" w:eastAsia="Times New Roman" w:hAnsi="Times New Roman"/>
      <w:sz w:val="24"/>
      <w:szCs w:val="24"/>
    </w:rPr>
  </w:style>
  <w:style w:type="character" w:styleId="TitleChar" w:customStyle="1">
    <w:name w:val="Title Char"/>
    <w:basedOn w:val="DefaultParagraphFont"/>
    <w:link w:val="Title"/>
    <w:uiPriority w:val="10"/>
    <w:rsid w:val="00D5102D"/>
    <w:rPr>
      <w:rFonts w:ascii="Calibri" w:cs="Calibri" w:eastAsia="Calibri" w:hAnsi="Calibri"/>
      <w:b w:val="1"/>
      <w:bCs w:val="1"/>
      <w:sz w:val="56"/>
      <w:szCs w:val="56"/>
    </w:rPr>
  </w:style>
  <w:style w:type="paragraph" w:styleId="ListParagraph">
    <w:name w:val="List Paragraph"/>
    <w:basedOn w:val="Normal"/>
    <w:uiPriority w:val="34"/>
    <w:qFormat w:val="1"/>
    <w:rsid w:val="00D5102D"/>
    <w:pPr>
      <w:ind w:left="1179" w:hanging="359"/>
    </w:pPr>
  </w:style>
  <w:style w:type="paragraph" w:styleId="TableParagraph" w:customStyle="1">
    <w:name w:val="Table Paragraph"/>
    <w:basedOn w:val="Normal"/>
    <w:uiPriority w:val="1"/>
    <w:qFormat w:val="1"/>
    <w:rsid w:val="00D5102D"/>
  </w:style>
  <w:style w:type="table" w:styleId="TableGrid">
    <w:name w:val="Table Grid"/>
    <w:basedOn w:val="TableNormal"/>
    <w:uiPriority w:val="39"/>
    <w:rsid w:val="00D5102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51" w:customStyle="1">
    <w:name w:val="Grid Table 4 - Accent 51"/>
    <w:basedOn w:val="TableNormal"/>
    <w:uiPriority w:val="49"/>
    <w:rsid w:val="00D57985"/>
    <w:pPr>
      <w:spacing w:after="0" w:line="240" w:lineRule="auto"/>
    </w:pPr>
    <w:tblPr>
      <w:tblStyleRowBandSize w:val="1"/>
      <w:tblStyleColBandSize w:val="1"/>
      <w:tblBorders>
        <w:top w:color="9bc7ce" w:space="0" w:sz="4" w:themeColor="accent5" w:themeTint="000099" w:val="single"/>
        <w:left w:color="9bc7ce" w:space="0" w:sz="4" w:themeColor="accent5" w:themeTint="000099" w:val="single"/>
        <w:bottom w:color="9bc7ce" w:space="0" w:sz="4" w:themeColor="accent5" w:themeTint="000099" w:val="single"/>
        <w:right w:color="9bc7ce" w:space="0" w:sz="4" w:themeColor="accent5" w:themeTint="000099" w:val="single"/>
        <w:insideH w:color="9bc7ce" w:space="0" w:sz="4" w:themeColor="accent5" w:themeTint="000099" w:val="single"/>
        <w:insideV w:color="9bc7ce" w:space="0" w:sz="4" w:themeColor="accent5" w:themeTint="000099" w:val="single"/>
      </w:tblBorders>
    </w:tblPr>
    <w:tblStylePr w:type="firstRow">
      <w:rPr>
        <w:b w:val="1"/>
        <w:bCs w:val="1"/>
        <w:color w:val="ffffff" w:themeColor="background1"/>
      </w:rPr>
      <w:tblPr/>
      <w:tcPr>
        <w:tcBorders>
          <w:top w:color="5aa2ae" w:space="0" w:sz="4" w:themeColor="accent5" w:val="single"/>
          <w:left w:color="5aa2ae" w:space="0" w:sz="4" w:themeColor="accent5" w:val="single"/>
          <w:bottom w:color="5aa2ae" w:space="0" w:sz="4" w:themeColor="accent5" w:val="single"/>
          <w:right w:color="5aa2ae" w:space="0" w:sz="4" w:themeColor="accent5" w:val="single"/>
          <w:insideH w:space="0" w:sz="0" w:val="nil"/>
          <w:insideV w:space="0" w:sz="0" w:val="nil"/>
        </w:tcBorders>
        <w:shd w:color="auto" w:fill="5aa2ae" w:themeFill="accent5" w:val="clear"/>
      </w:tcPr>
    </w:tblStylePr>
    <w:tblStylePr w:type="lastRow">
      <w:rPr>
        <w:b w:val="1"/>
        <w:bCs w:val="1"/>
      </w:rPr>
      <w:tblPr/>
      <w:tcPr>
        <w:tcBorders>
          <w:top w:color="5aa2ae" w:space="0" w:sz="4" w:themeColor="accent5" w:val="double"/>
        </w:tcBorders>
      </w:tcPr>
    </w:tblStylePr>
    <w:tblStylePr w:type="firstCol">
      <w:rPr>
        <w:b w:val="1"/>
        <w:bCs w:val="1"/>
      </w:rPr>
    </w:tblStylePr>
    <w:tblStylePr w:type="lastCol">
      <w:rPr>
        <w:b w:val="1"/>
        <w:bCs w:val="1"/>
      </w:rPr>
    </w:tblStylePr>
    <w:tblStylePr w:type="band1Vert">
      <w:tblPr/>
      <w:tcPr>
        <w:shd w:color="auto" w:fill="ddecee" w:themeFill="accent5" w:themeFillTint="000033" w:val="clear"/>
      </w:tcPr>
    </w:tblStylePr>
    <w:tblStylePr w:type="band1Horz">
      <w:tblPr/>
      <w:tcPr>
        <w:shd w:color="auto" w:fill="ddecee" w:themeFill="accent5" w:themeFillTint="000033" w:val="clear"/>
      </w:tcPr>
    </w:tblStylePr>
  </w:style>
  <w:style w:type="table" w:styleId="GridTable4-Accent21" w:customStyle="1">
    <w:name w:val="Grid Table 4 - Accent 21"/>
    <w:basedOn w:val="TableNormal"/>
    <w:uiPriority w:val="49"/>
    <w:rsid w:val="00ED4069"/>
    <w:pPr>
      <w:spacing w:after="0" w:line="240" w:lineRule="auto"/>
    </w:pPr>
    <w:tblPr>
      <w:tblStyleRowBandSize w:val="1"/>
      <w:tblStyleColBandSize w:val="1"/>
      <w:tblBorders>
        <w:top w:color="a0c3e3" w:space="0" w:sz="4" w:themeColor="accent2" w:themeTint="000099" w:val="single"/>
        <w:left w:color="a0c3e3" w:space="0" w:sz="4" w:themeColor="accent2" w:themeTint="000099" w:val="single"/>
        <w:bottom w:color="a0c3e3" w:space="0" w:sz="4" w:themeColor="accent2" w:themeTint="000099" w:val="single"/>
        <w:right w:color="a0c3e3" w:space="0" w:sz="4" w:themeColor="accent2" w:themeTint="000099" w:val="single"/>
        <w:insideH w:color="a0c3e3" w:space="0" w:sz="4" w:themeColor="accent2" w:themeTint="000099" w:val="single"/>
        <w:insideV w:color="a0c3e3" w:space="0" w:sz="4" w:themeColor="accent2" w:themeTint="000099" w:val="single"/>
      </w:tblBorders>
    </w:tblPr>
    <w:tblStylePr w:type="firstRow">
      <w:rPr>
        <w:b w:val="1"/>
        <w:bCs w:val="1"/>
        <w:color w:val="ffffff" w:themeColor="background1"/>
      </w:rPr>
      <w:tblPr/>
      <w:tcPr>
        <w:tcBorders>
          <w:top w:color="629dd1" w:space="0" w:sz="4" w:themeColor="accent2" w:val="single"/>
          <w:left w:color="629dd1" w:space="0" w:sz="4" w:themeColor="accent2" w:val="single"/>
          <w:bottom w:color="629dd1" w:space="0" w:sz="4" w:themeColor="accent2" w:val="single"/>
          <w:right w:color="629dd1" w:space="0" w:sz="4" w:themeColor="accent2" w:val="single"/>
          <w:insideH w:space="0" w:sz="0" w:val="nil"/>
          <w:insideV w:space="0" w:sz="0" w:val="nil"/>
        </w:tcBorders>
        <w:shd w:color="auto" w:fill="629dd1" w:themeFill="accent2" w:val="clear"/>
      </w:tcPr>
    </w:tblStylePr>
    <w:tblStylePr w:type="lastRow">
      <w:rPr>
        <w:b w:val="1"/>
        <w:bCs w:val="1"/>
      </w:rPr>
      <w:tblPr/>
      <w:tcPr>
        <w:tcBorders>
          <w:top w:color="629dd1" w:space="0" w:sz="4" w:themeColor="accent2" w:val="double"/>
        </w:tcBorders>
      </w:tcPr>
    </w:tblStylePr>
    <w:tblStylePr w:type="firstCol">
      <w:rPr>
        <w:b w:val="1"/>
        <w:bCs w:val="1"/>
      </w:rPr>
    </w:tblStylePr>
    <w:tblStylePr w:type="lastCol">
      <w:rPr>
        <w:b w:val="1"/>
        <w:bCs w:val="1"/>
      </w:rPr>
    </w:tblStylePr>
    <w:tblStylePr w:type="band1Vert">
      <w:tblPr/>
      <w:tcPr>
        <w:shd w:color="auto" w:fill="dfebf5" w:themeFill="accent2" w:themeFillTint="000033" w:val="clear"/>
      </w:tcPr>
    </w:tblStylePr>
    <w:tblStylePr w:type="band1Horz">
      <w:tblPr/>
      <w:tcPr>
        <w:shd w:color="auto" w:fill="dfebf5" w:themeFill="accent2" w:themeFillTint="000033" w:val="clear"/>
      </w:tcPr>
    </w:tblStylePr>
  </w:style>
  <w:style w:type="table" w:styleId="GridTable4-Accent61" w:customStyle="1">
    <w:name w:val="Grid Table 4 - Accent 61"/>
    <w:basedOn w:val="TableNormal"/>
    <w:uiPriority w:val="49"/>
    <w:rsid w:val="00C87F2F"/>
    <w:pPr>
      <w:spacing w:after="0" w:line="240" w:lineRule="auto"/>
    </w:pPr>
    <w:tblPr>
      <w:tblStyleRowBandSize w:val="1"/>
      <w:tblStyleColBandSize w:val="1"/>
      <w:tblBorders>
        <w:top w:color="c4bcc6" w:space="0" w:sz="4" w:themeColor="accent6" w:themeTint="000099" w:val="single"/>
        <w:left w:color="c4bcc6" w:space="0" w:sz="4" w:themeColor="accent6" w:themeTint="000099" w:val="single"/>
        <w:bottom w:color="c4bcc6" w:space="0" w:sz="4" w:themeColor="accent6" w:themeTint="000099" w:val="single"/>
        <w:right w:color="c4bcc6" w:space="0" w:sz="4" w:themeColor="accent6" w:themeTint="000099" w:val="single"/>
        <w:insideH w:color="c4bcc6" w:space="0" w:sz="4" w:themeColor="accent6" w:themeTint="000099" w:val="single"/>
        <w:insideV w:color="c4bcc6" w:space="0" w:sz="4" w:themeColor="accent6" w:themeTint="000099" w:val="single"/>
      </w:tblBorders>
    </w:tblPr>
    <w:tblStylePr w:type="firstRow">
      <w:rPr>
        <w:b w:val="1"/>
        <w:bCs w:val="1"/>
        <w:color w:val="ffffff" w:themeColor="background1"/>
      </w:rPr>
      <w:tblPr/>
      <w:tcPr>
        <w:tcBorders>
          <w:top w:color="9d90a0" w:space="0" w:sz="4" w:themeColor="accent6" w:val="single"/>
          <w:left w:color="9d90a0" w:space="0" w:sz="4" w:themeColor="accent6" w:val="single"/>
          <w:bottom w:color="9d90a0" w:space="0" w:sz="4" w:themeColor="accent6" w:val="single"/>
          <w:right w:color="9d90a0" w:space="0" w:sz="4" w:themeColor="accent6" w:val="single"/>
          <w:insideH w:space="0" w:sz="0" w:val="nil"/>
          <w:insideV w:space="0" w:sz="0" w:val="nil"/>
        </w:tcBorders>
        <w:shd w:color="auto" w:fill="9d90a0" w:themeFill="accent6" w:val="clear"/>
      </w:tcPr>
    </w:tblStylePr>
    <w:tblStylePr w:type="lastRow">
      <w:rPr>
        <w:b w:val="1"/>
        <w:bCs w:val="1"/>
      </w:rPr>
      <w:tblPr/>
      <w:tcPr>
        <w:tcBorders>
          <w:top w:color="9d90a0" w:space="0" w:sz="4" w:themeColor="accent6" w:val="double"/>
        </w:tcBorders>
      </w:tcPr>
    </w:tblStylePr>
    <w:tblStylePr w:type="firstCol">
      <w:rPr>
        <w:b w:val="1"/>
        <w:bCs w:val="1"/>
      </w:rPr>
    </w:tblStylePr>
    <w:tblStylePr w:type="lastCol">
      <w:rPr>
        <w:b w:val="1"/>
        <w:bCs w:val="1"/>
      </w:rPr>
    </w:tblStylePr>
    <w:tblStylePr w:type="band1Vert">
      <w:tblPr/>
      <w:tcPr>
        <w:shd w:color="auto" w:fill="ebe8ec" w:themeFill="accent6" w:themeFillTint="000033" w:val="clear"/>
      </w:tcPr>
    </w:tblStylePr>
    <w:tblStylePr w:type="band1Horz">
      <w:tblPr/>
      <w:tcPr>
        <w:shd w:color="auto" w:fill="ebe8ec" w:themeFill="accent6" w:themeFillTint="000033" w:val="clear"/>
      </w:tcPr>
    </w:tblStylePr>
  </w:style>
  <w:style w:type="paragraph" w:styleId="Header">
    <w:name w:val="header"/>
    <w:basedOn w:val="Normal"/>
    <w:link w:val="HeaderChar"/>
    <w:uiPriority w:val="99"/>
    <w:unhideWhenUsed w:val="1"/>
    <w:rsid w:val="006B2FA8"/>
    <w:pPr>
      <w:tabs>
        <w:tab w:val="center" w:pos="4680"/>
        <w:tab w:val="right" w:pos="9360"/>
      </w:tabs>
    </w:pPr>
  </w:style>
  <w:style w:type="character" w:styleId="HeaderChar" w:customStyle="1">
    <w:name w:val="Header Char"/>
    <w:basedOn w:val="DefaultParagraphFont"/>
    <w:link w:val="Header"/>
    <w:uiPriority w:val="99"/>
    <w:rsid w:val="006B2FA8"/>
    <w:rPr>
      <w:rFonts w:ascii="Times New Roman" w:cs="Times New Roman" w:eastAsia="Times New Roman" w:hAnsi="Times New Roman"/>
    </w:rPr>
  </w:style>
  <w:style w:type="paragraph" w:styleId="Footer">
    <w:name w:val="footer"/>
    <w:basedOn w:val="Normal"/>
    <w:link w:val="FooterChar"/>
    <w:uiPriority w:val="99"/>
    <w:unhideWhenUsed w:val="1"/>
    <w:rsid w:val="006B2FA8"/>
    <w:pPr>
      <w:tabs>
        <w:tab w:val="center" w:pos="4680"/>
        <w:tab w:val="right" w:pos="9360"/>
      </w:tabs>
    </w:pPr>
  </w:style>
  <w:style w:type="character" w:styleId="FooterChar" w:customStyle="1">
    <w:name w:val="Footer Char"/>
    <w:basedOn w:val="DefaultParagraphFont"/>
    <w:link w:val="Footer"/>
    <w:uiPriority w:val="99"/>
    <w:rsid w:val="006B2FA8"/>
    <w:rPr>
      <w:rFonts w:ascii="Times New Roman" w:cs="Times New Roman" w:eastAsia="Times New Roman" w:hAnsi="Times New Roman"/>
    </w:rPr>
  </w:style>
  <w:style w:type="paragraph" w:styleId="ListBullet3">
    <w:name w:val="List Bullet 3"/>
    <w:basedOn w:val="Normal"/>
    <w:uiPriority w:val="99"/>
    <w:rsid w:val="0036783E"/>
    <w:pPr>
      <w:widowControl w:val="1"/>
      <w:tabs>
        <w:tab w:val="num" w:pos="1080"/>
      </w:tabs>
      <w:autoSpaceDE w:val="1"/>
      <w:autoSpaceDN w:val="1"/>
      <w:spacing w:line="360" w:lineRule="auto"/>
      <w:ind w:left="1080" w:hanging="360"/>
      <w:contextualSpacing w:val="1"/>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be8ec" w:val="clear"/>
      </w:tcPr>
    </w:tblStylePr>
    <w:tblStylePr w:type="band1Vert">
      <w:tcPr>
        <w:shd w:fill="ebe8ec" w:val="clear"/>
      </w:tcPr>
    </w:tblStylePr>
    <w:tblStylePr w:type="firstCol">
      <w:rPr>
        <w:b w:val="1"/>
      </w:rPr>
    </w:tblStylePr>
    <w:tblStylePr w:type="firstRow">
      <w:rPr>
        <w:b w:val="1"/>
        <w:color w:val="ffffff"/>
      </w:rPr>
      <w:tcPr>
        <w:tcBorders>
          <w:top w:color="9d90a0" w:space="0" w:sz="4" w:val="single"/>
          <w:left w:color="9d90a0" w:space="0" w:sz="4" w:val="single"/>
          <w:bottom w:color="9d90a0" w:space="0" w:sz="4" w:val="single"/>
          <w:right w:color="9d90a0" w:space="0" w:sz="4" w:val="single"/>
          <w:insideH w:color="000000" w:space="0" w:sz="0" w:val="nil"/>
          <w:insideV w:color="000000" w:space="0" w:sz="0" w:val="nil"/>
        </w:tcBorders>
        <w:shd w:fill="9d90a0" w:val="clear"/>
      </w:tcPr>
    </w:tblStylePr>
    <w:tblStylePr w:type="lastCol">
      <w:rPr>
        <w:b w:val="1"/>
      </w:rPr>
    </w:tblStylePr>
    <w:tblStylePr w:type="lastRow">
      <w:rPr>
        <w:b w:val="1"/>
      </w:rPr>
      <w:tcPr>
        <w:tcBorders>
          <w:top w:color="9d90a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9USBp4cUHNRk8NdNSxcHlXIrA==">CgMxLjA4AHIhMVp0NnRsdEtPQnFJbldDVDQxbjU3aXNoM0xtZktzLVRW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2024-09-15T15:52:00Z</dcterms:created>
  <dc:creator>muhammad adeel</dc:creator>
</cp:coreProperties>
</file>